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Nabycie pojazdu bez ważnej polisy OC</w:t>
      </w:r>
      <w:r>
        <w:rPr/>
        <w:t xml:space="preserve"> </w:t>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Tretekstu"/>
        <w:jc w:val="both"/>
        <w:rPr/>
      </w:pPr>
      <w:r>
        <w:rPr/>
        <w:t>W przypadku nabycia pojazdu bez ważnego ubezpieczenia obowiązkowego OC, za spełnienie obowiązku przez nabywcę pojazdu, wynikającego z art. 31 ust. 1 ustawy z dnia 22.05.2003 r.  o ubezpieczeniach obowiązkowych, Ubezpieczeniowym Funduszu Gwarancyjnym i Polskim Biurze Ubezpieczycieli Komunikacyjnych (Dz.U.2013.392.j.t.), uważa się zawarcie umowy ubezpieczenia OC w dniu zakupu pojazdu. Za szkodę powstałą w związku z ruchem pojazdu uważa się również szkodę powstałą podczas i w związku z wsiadaniem i wysiadaniem z pojazdu, załadunkiem i wyładunkiem, zatrzymaniem lub postojem pojazdu (w tym garażowaniem).</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b/>
          <w:b/>
          <w:bCs/>
        </w:rPr>
      </w:pPr>
      <w:r>
        <w:rPr>
          <w:b/>
          <w:bCs/>
        </w:rPr>
        <w:t xml:space="preserve">Ważność polisy OC po sprzedaży pojazdu </w:t>
      </w:r>
    </w:p>
    <w:p>
      <w:pPr>
        <w:pStyle w:val="Normal"/>
        <w:rPr/>
      </w:pPr>
      <w:r>
        <w:rPr/>
      </w:r>
      <w:bookmarkStart w:id="0" w:name="T%2525253Aoc_5261304663region1%2525253As"/>
      <w:bookmarkStart w:id="1" w:name="T%2525253Aoc_5261304663region1%2525253As"/>
      <w:bookmarkEnd w:id="1"/>
    </w:p>
    <w:p>
      <w:pPr>
        <w:sectPr>
          <w:type w:val="continuous"/>
          <w:pgSz w:w="11906" w:h="16838"/>
          <w:pgMar w:left="1134" w:right="1134" w:header="0" w:top="1134" w:footer="0" w:bottom="1134" w:gutter="0"/>
          <w:formProt w:val="false"/>
          <w:textDirection w:val="lrTb"/>
          <w:docGrid w:type="default" w:linePitch="100" w:charSpace="0"/>
        </w:sectPr>
      </w:pPr>
    </w:p>
    <w:p>
      <w:pPr>
        <w:pStyle w:val="Tretekstu"/>
        <w:jc w:val="both"/>
        <w:rPr/>
      </w:pPr>
      <w:bookmarkStart w:id="2" w:name="T%2525253Aoc_5261304663region1%2525253As"/>
      <w:bookmarkEnd w:id="2"/>
      <w:r>
        <w:rPr/>
        <w:t>Zgodnie z art. 31 ustawy z dnia 22.05.2003 r. o ubezpieczeniach obowiązkowych, Ubezpieczeniowym Funduszu Gwarancyjnym i Polskim Biurze Ubezpieczycieli Komunikacyjnych (Dz.U.2013.392.j.t)  umowa ubezpieczenia OC zawarta przez zbywcę pojazdu ważna jest do końca okresu, na który została zawarta. Jeśli nabywca nie wypowie tej umowy to nastąpi rekalkulacja składki stosownie do jego zniżek/zwyżek. Zgodnie z art. 32 ust. 4 ww. ustawy posiadacz pojazdu mechanicznego, na którego przeniesiono prawo własności pojazdu odpowiada wobec zakładu ubezpieczeń za zapłatę składki od dnia nabycia przez niego pojazdu. Solidarnie natomiast z posiadaczem, który przeniósł prawo własności, odpowiada za zapłatę należnej zakładowi ubezpieczeń składki, za okres od dnia przeniesienia prawa własności do dnia powiadomienia zakładu o jego zbyciu przez posiadacza który przeniósł prawo własności.</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b/>
          <w:b/>
          <w:bCs/>
        </w:rPr>
      </w:pPr>
      <w:r>
        <w:rPr>
          <w:b/>
          <w:bCs/>
        </w:rPr>
        <w:t xml:space="preserve">Demontaż pojazdu a obowiązek ubezpieczenia OC </w:t>
      </w:r>
    </w:p>
    <w:p>
      <w:pPr>
        <w:pStyle w:val="Tretekstu"/>
        <w:jc w:val="both"/>
        <w:rPr>
          <w:b w:val="false"/>
          <w:b w:val="false"/>
          <w:bCs w:val="false"/>
        </w:rPr>
      </w:pPr>
      <w:r>
        <w:rPr>
          <w:b w:val="false"/>
          <w:bCs w:val="false"/>
        </w:rPr>
        <w:t>Zgodnie z art. 23 ustawy z dnia 22.05.2003 r. o ubezpieczeniach obowiązkowych, Ubezpieczeniowym Funduszu Gwarancyjnym i Polskim Biurze Ubezpieczycieli Komunikacyjnych (Dz.U.2013.392.j.t) każdy posiadacz pojazdu mechanicznego jest obowiązany zawrzeć umowę obowiązkowego ubezpieczenia OC posiadaczy pojazdów mechanicznych za szkody powstałe w związku z ruchem posiadanego pojazdu. </w:t>
      </w:r>
    </w:p>
    <w:p>
      <w:pPr>
        <w:pStyle w:val="Tretekstu"/>
        <w:jc w:val="both"/>
        <w:rPr/>
      </w:pPr>
      <w:r>
        <w:rPr/>
        <w:t>Z treści ww. artykułu wynika, iż obowiązek zawarcia umowy w zakresie OC i zachowania ciągłości ochrony ubezpieczeniowej ciąży na każdym posiadaczu pojazdu zarejestrowanego na terenie RP niezależnie od stanu technicznego w jakim znajduje się pojazd, oraz przyczyn użytkowania lub nie. Za szkodę powstałą w związku z ruchem pojazdu uważa się również szkodę powstałą podczas i w związku z wsiadaniem i wysiadaniem z pojazdu, załadunkiem i wyładunkiem, zatrzymaniem lub postojem pojazdu (w tym garażowaniem). </w:t>
      </w:r>
    </w:p>
    <w:p>
      <w:pPr>
        <w:pStyle w:val="Tretekstu"/>
        <w:jc w:val="both"/>
        <w:rPr/>
      </w:pPr>
      <w:r>
        <w:rPr/>
        <w:t>Zgodnie z art. 33 ust. 9 cytowanej ustawy umowa ubezpieczenia OC ulega rozwiązaniu z dniem wydania zaświadczenia o demontażu pojazdu. Do tego czasu posiadacz pojazdu obowiązany jest legitymować się ochroną ubezpieczeniową w zakresie ubezpieczenia OC.</w:t>
      </w:r>
    </w:p>
    <w:p>
      <w:pPr>
        <w:pStyle w:val="Normal"/>
        <w:rPr>
          <w:b/>
          <w:b/>
          <w:bCs/>
        </w:rPr>
      </w:pPr>
      <w:r>
        <w:rPr>
          <w:b/>
          <w:bCs/>
        </w:rPr>
        <w:t xml:space="preserve">Ubezpieczenie OC pojazdu historycznego/zabytkowego </w:t>
      </w:r>
    </w:p>
    <w:p>
      <w:pPr>
        <w:pStyle w:val="Tretekstu"/>
        <w:rPr>
          <w:b/>
          <w:b/>
          <w:bCs/>
        </w:rPr>
      </w:pPr>
      <w:r>
        <w:rPr>
          <w:b w:val="false"/>
          <w:bCs w:val="false"/>
        </w:rPr>
        <w:t>Zgodnie z art. 2 ust. 11 ustawy z dnia 22.05.2003 r. o ubezpieczeniach obowiązkowych, Ubezpieczeniowym Funduszu Gwarancyjnym i Polskim Biurze Ubezpieczycieli Komunikacyjnych (Dz.U.2013.392.j.t) pojazdem historycznym jest pojazd zabytkowy w rozumieniu ustawy – Prawo o ruchu drogowym</w:t>
      </w:r>
      <w:r>
        <w:rPr>
          <w:b/>
          <w:bCs/>
        </w:rPr>
        <w:t>:</w:t>
      </w:r>
    </w:p>
    <w:p>
      <w:pPr>
        <w:pStyle w:val="Tretekstu"/>
        <w:jc w:val="both"/>
        <w:rPr/>
      </w:pPr>
      <w:r>
        <w:rPr/>
        <w:t>- pojazd mający co najmniej 40 lat,</w:t>
      </w:r>
    </w:p>
    <w:p>
      <w:pPr>
        <w:pStyle w:val="Tretekstu"/>
        <w:jc w:val="both"/>
        <w:rPr/>
      </w:pPr>
      <w:r>
        <w:rPr/>
        <w:t>- pojazd mający co najmniej 25 lat i który został uznany przez rzeczoznawcę samochodowego za pojazd unikatowy lub mający szczególne znaczenia dla udokumentowania historii motoryzacji. </w:t>
      </w:r>
    </w:p>
    <w:p>
      <w:pPr>
        <w:pStyle w:val="Tretekstu"/>
        <w:jc w:val="both"/>
        <w:rPr/>
      </w:pPr>
      <w:r>
        <w:rPr/>
        <w:t>Wiek pojazdu historycznego należy liczyć od daty jego produkcji, jeśli został po raz pierwszy zarejestrowany w roku jego produkcji, lub od daty pierwszej rejestracji jeśli rejestracja nastąpiła w roku późniejszym niż rok produkcji. </w:t>
      </w:r>
    </w:p>
    <w:p>
      <w:pPr>
        <w:pStyle w:val="Tretekstu"/>
        <w:jc w:val="both"/>
        <w:rPr/>
      </w:pPr>
      <w:r>
        <w:rPr/>
        <w:t>Zgodnie z art. 29 ust. 1 pkt 2 ww. ustawy posiadacz pojazdu historycznego obowiązany jest zawrzeć umowę ubezpieczenia obowiązkowego OC posiadaczy pojazdów mechanicznych przed wprowadzeniem tego pojazdu do ruchu. Przy dokonywaniu czynności przed organami właściwymi do spraw rejestracji pojazdów, posiadacz pojazdu historycznego nie musi legitymować się umową OC, ale ma obowiązek poddać się kontroli spełnienia obowiązku zawarcia umowy ubezpieczenia obowiązkowego OC posiadaczy pojazdów mechanicznych. </w:t>
      </w:r>
    </w:p>
    <w:p>
      <w:pPr>
        <w:pStyle w:val="Normal"/>
        <w:rPr/>
      </w:pPr>
      <w:r>
        <w:rPr>
          <w:b/>
          <w:bCs/>
        </w:rPr>
        <w:t xml:space="preserve">Szkoda, której sprawcą jest inny podmiot niż posiadacz i kierujący pojazdem mechanicznym, lub posiadacz gospodarstwa rolnego (pieszy, rowerzysta, itp.) </w:t>
      </w:r>
    </w:p>
    <w:p>
      <w:pPr>
        <w:pStyle w:val="Normal"/>
        <w:rPr>
          <w:b/>
          <w:b/>
          <w:bCs/>
        </w:rPr>
      </w:pPr>
      <w:r>
        <w:rPr>
          <w:b/>
          <w:bCs/>
        </w:rPr>
      </w:r>
    </w:p>
    <w:p>
      <w:pPr>
        <w:pStyle w:val="Normal"/>
        <w:rPr/>
      </w:pPr>
      <w:r>
        <w:rPr/>
        <w:t>Ubezpieczeniowy Fundusz Gwarancyjny nie odpowiada za szkody, w których:</w:t>
      </w:r>
    </w:p>
    <w:p>
      <w:pPr>
        <w:pStyle w:val="Normal"/>
        <w:rPr/>
      </w:pPr>
      <w:r>
        <w:rPr/>
      </w:r>
    </w:p>
    <w:p>
      <w:pPr>
        <w:pStyle w:val="Tretekstu"/>
        <w:rPr/>
      </w:pPr>
      <w:r>
        <w:rPr/>
        <w:t>- nie zidentyfikowano sprawcy a uszkodzeniu uległo tylko mienie, </w:t>
      </w:r>
    </w:p>
    <w:p>
      <w:pPr>
        <w:pStyle w:val="Tretekstu"/>
        <w:rPr/>
      </w:pPr>
      <w:r>
        <w:rPr/>
        <w:t>- sprawcami szkody były inne osoby niż kierowca pojazdu nieposiadający ubezpieczenia obowiązkowego OC, czy rolnik.</w:t>
      </w:r>
    </w:p>
    <w:p>
      <w:pPr>
        <w:pStyle w:val="Tretekstu"/>
        <w:rPr/>
      </w:pPr>
      <w:r>
        <w:rPr/>
        <w:t>Przykłady zdarzeń wykluczających odpowiedzialność Funduszu: </w:t>
      </w:r>
    </w:p>
    <w:p>
      <w:pPr>
        <w:pStyle w:val="Tretekstu"/>
        <w:rPr/>
      </w:pPr>
      <w:r>
        <w:rPr/>
        <w:t>- uszkodzenie pojazdu na skutek spalenia, </w:t>
      </w:r>
    </w:p>
    <w:p>
      <w:pPr>
        <w:pStyle w:val="Tretekstu"/>
        <w:rPr/>
      </w:pPr>
      <w:r>
        <w:rPr/>
        <w:t>- uszkodzenie pojazdu na skutek zderzenia, którego sprawcą jest pieszy, rowerzysta,  </w:t>
      </w:r>
    </w:p>
    <w:p>
      <w:pPr>
        <w:pStyle w:val="Tretekstu"/>
        <w:rPr/>
      </w:pPr>
      <w:r>
        <w:rPr/>
        <w:t xml:space="preserve">- </w:t>
      </w:r>
      <w:r>
        <w:rPr>
          <w:b/>
          <w:bCs/>
        </w:rPr>
        <w:t>uszkodzenie pojazdu spowodowane wtargnięciem na jezdnię zwierząt żyjących w stanie wolnym, np. sarna. </w:t>
      </w:r>
    </w:p>
    <w:p>
      <w:pPr>
        <w:pStyle w:val="Tretekstu"/>
        <w:jc w:val="both"/>
        <w:rPr>
          <w:b/>
          <w:b/>
          <w:bCs/>
        </w:rPr>
      </w:pPr>
      <w:r>
        <w:rPr>
          <w:b/>
          <w:bCs/>
        </w:rPr>
        <w:t>W przypadku zajścia zdarzenia drogowego z udziałem zwierzęcia żyjącego w stanie wolnym, odpowiedzialność za szkodę może ponosić zarządca lub dzierżawca obwodu łowieckiego, który nie dochował ciążących na nim obowiązków w zakresie gospodarki zwierzyną łowną, lub też zarządca drogi, na której miało miejsce zdarzenie (zaniedbania w zakresie informowania zarządców dróg o wędrówkach zwierząt, niewłaściwe oznakowanie drogi znakami informacyjnym o możliwości spotkania zwierząt na drodze).</w:t>
      </w:r>
    </w:p>
    <w:p>
      <w:pPr>
        <w:pStyle w:val="Tretekstu"/>
        <w:numPr>
          <w:ilvl w:val="0"/>
          <w:numId w:val="0"/>
        </w:numPr>
        <w:spacing w:before="0" w:after="0"/>
        <w:ind w:left="707" w:hanging="0"/>
        <w:rPr/>
      </w:pPr>
      <w:r>
        <w:rPr/>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Czeinternetowe">
    <w:name w:val="Łącze internetowe"/>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LibreOffice/6.2.5.2$Windows_X86_64 LibreOffice_project/1ec314fa52f458adc18c4f025c545a4e8b22c159</Application>
  <Pages>2</Pages>
  <Words>686</Words>
  <Characters>4520</Characters>
  <CharactersWithSpaces>5202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2019-11-01T14:24:45Z</dcterms:created>
  <dc:creator/>
  <dc:description/>
  <dc:language>pl-PL</dc:language>
  <cp:lastModifiedBy/>
  <dcterms:modified xsi:type="dcterms:W3CDTF">2019-11-02T13:23:08Z</dcterms:modified>
  <cp:revision>7</cp:revision>
  <dc:subject/>
  <dc:title/>
</cp:coreProperties>
</file>